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C5EE" w14:textId="77777777" w:rsidR="00864A98" w:rsidRPr="001F5176" w:rsidRDefault="00534989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1F5176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14:paraId="02045144" w14:textId="1E5BE2F3" w:rsidR="0018143F" w:rsidRPr="001F5176" w:rsidRDefault="0018143F" w:rsidP="001814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П</w:t>
      </w:r>
      <w:r w:rsidR="00EA24DC" w:rsidRPr="001F5176">
        <w:rPr>
          <w:rFonts w:ascii="Times New Roman" w:hAnsi="Times New Roman" w:cs="Times New Roman"/>
          <w:sz w:val="24"/>
          <w:szCs w:val="24"/>
        </w:rPr>
        <w:t xml:space="preserve">РОТОКОЛ </w:t>
      </w:r>
    </w:p>
    <w:p w14:paraId="39409051" w14:textId="461E3B20" w:rsidR="00534989" w:rsidRPr="001F5176" w:rsidRDefault="00534989" w:rsidP="001814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Загальних зборів </w:t>
      </w:r>
      <w:r w:rsidR="0018143F" w:rsidRPr="001F5176">
        <w:rPr>
          <w:rFonts w:ascii="Times New Roman" w:hAnsi="Times New Roman" w:cs="Times New Roman"/>
          <w:sz w:val="24"/>
          <w:szCs w:val="24"/>
        </w:rPr>
        <w:t>учасників</w:t>
      </w:r>
      <w:r w:rsidRPr="001F5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F12F8" w14:textId="671E6B4C" w:rsidR="00EA24DC" w:rsidRPr="001F5176" w:rsidRDefault="00EA24DC" w:rsidP="001814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ПТ «ДОНКРЕДИТ»</w:t>
      </w:r>
    </w:p>
    <w:p w14:paraId="15073CBF" w14:textId="6EFC426E" w:rsidR="00EA24DC" w:rsidRPr="001F5176" w:rsidRDefault="00EA24DC" w:rsidP="001814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№ </w:t>
      </w:r>
      <w:r w:rsidR="001F5176" w:rsidRPr="001F5176">
        <w:rPr>
          <w:rFonts w:ascii="Times New Roman" w:hAnsi="Times New Roman" w:cs="Times New Roman"/>
          <w:sz w:val="24"/>
          <w:szCs w:val="24"/>
        </w:rPr>
        <w:t>26/02-2025</w:t>
      </w:r>
      <w:r w:rsidRPr="001F5176">
        <w:rPr>
          <w:rFonts w:ascii="Times New Roman" w:hAnsi="Times New Roman" w:cs="Times New Roman"/>
          <w:sz w:val="24"/>
          <w:szCs w:val="24"/>
        </w:rPr>
        <w:t xml:space="preserve"> від </w:t>
      </w:r>
      <w:r w:rsidR="001F5176" w:rsidRPr="001F5176">
        <w:rPr>
          <w:rFonts w:ascii="Times New Roman" w:hAnsi="Times New Roman" w:cs="Times New Roman"/>
          <w:sz w:val="24"/>
          <w:szCs w:val="24"/>
        </w:rPr>
        <w:t>26.02.2025 р.</w:t>
      </w:r>
    </w:p>
    <w:p w14:paraId="6C8D6185" w14:textId="2A29E8F3" w:rsidR="00CB0B17" w:rsidRPr="001F5176" w:rsidRDefault="00CB0B17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0758BE" w14:textId="77777777" w:rsidR="00CB0B17" w:rsidRPr="001F5176" w:rsidRDefault="00CB0B17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8EACA8" w14:textId="77777777" w:rsidR="00CB0B17" w:rsidRPr="001F5176" w:rsidRDefault="00CB0B17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7F323B" w14:textId="540B9303" w:rsidR="00CB0B17" w:rsidRPr="001F5176" w:rsidRDefault="00CB0B17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13B9EC" w14:textId="1ED078CA" w:rsidR="00864A98" w:rsidRPr="001F5176" w:rsidRDefault="00864A98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B69FFF" w14:textId="7F24BF77" w:rsidR="00864A98" w:rsidRPr="001F5176" w:rsidRDefault="00864A98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D24386" w14:textId="007538EF" w:rsidR="00864A98" w:rsidRPr="001F5176" w:rsidRDefault="00864A98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15E6B7" w14:textId="77777777" w:rsidR="00864A98" w:rsidRPr="001F5176" w:rsidRDefault="00864A98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9B0615" w14:textId="77777777" w:rsidR="00864A98" w:rsidRPr="001F5176" w:rsidRDefault="00864A98" w:rsidP="005A0EA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8CAF4" w14:textId="5A7E9A62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17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ПРОВЕДЕННЯ КОНКУРСУ З ВІДБОРУ СУБ’ЄКТІВ АУДИТОРСЬКОЇ ДІЯЛЬНОСТІ ДЛЯ НАДАННЯ ПОСЛУГ ОБОВ’ЯЗКОВОГО АУДИТУ ФІНАНСОВОЇ ЗВІТНОСТІ </w:t>
      </w:r>
      <w:r w:rsidRPr="001F5176">
        <w:rPr>
          <w:rFonts w:ascii="Times New Roman" w:hAnsi="Times New Roman" w:cs="Times New Roman"/>
          <w:b/>
          <w:sz w:val="24"/>
          <w:szCs w:val="24"/>
        </w:rPr>
        <w:t xml:space="preserve">ПОВНОГО ТОВАРИСТВА «ЛОМБАРД ДОНКРЕДИТ ТОВАРИСТВО З ОБМЕЖЕНОЮ ВІДПОВІДАЛЬНІСТЮ «IHTEP-PIEЛTI» І КОМПАНІЯ» </w:t>
      </w:r>
    </w:p>
    <w:p w14:paraId="45F596F0" w14:textId="79AC6042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5B378" w14:textId="40F2E739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19D4D60" w14:textId="4AAE2348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58C5EF8" w14:textId="45241374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0B2E4C" w14:textId="0BFBD555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733C870" w14:textId="789D511E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63DE356" w14:textId="4F472266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6FF79D2" w14:textId="41F1542A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7CD546A" w14:textId="1B2C5A0D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F875BCC" w14:textId="56D967FE" w:rsidR="00864A98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2E6204B" w14:textId="3837644C" w:rsidR="00E95789" w:rsidRPr="001F5176" w:rsidRDefault="00864A98" w:rsidP="005A0EA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м. Київ, 2025 рік</w:t>
      </w:r>
      <w:r w:rsidRPr="001F5176">
        <w:rPr>
          <w:rFonts w:ascii="Times New Roman" w:hAnsi="Times New Roman" w:cs="Times New Roman"/>
          <w:sz w:val="24"/>
          <w:szCs w:val="24"/>
        </w:rPr>
        <w:br w:type="page"/>
      </w:r>
    </w:p>
    <w:p w14:paraId="6A6A4AE4" w14:textId="77777777" w:rsidR="00E95789" w:rsidRPr="001F5176" w:rsidRDefault="00E95789" w:rsidP="005A0EA1">
      <w:pPr>
        <w:spacing w:line="360" w:lineRule="auto"/>
        <w:jc w:val="center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</w:rPr>
        <w:id w:val="-15173813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6E0A41" w14:textId="339A52BA" w:rsidR="00864A98" w:rsidRPr="001F5176" w:rsidRDefault="005A0EA1" w:rsidP="005A0EA1">
          <w:pPr>
            <w:pStyle w:val="af0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1F5176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ЗМІСТ</w:t>
          </w:r>
        </w:p>
        <w:p w14:paraId="6F8AB9C9" w14:textId="6B27B8B1" w:rsidR="00864A98" w:rsidRPr="001F5176" w:rsidRDefault="00864A98" w:rsidP="005A0EA1">
          <w:pPr>
            <w:pStyle w:val="11"/>
            <w:tabs>
              <w:tab w:val="right" w:leader="dot" w:pos="977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F517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F517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F517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0741903" w:history="1">
            <w:r w:rsidRPr="001F5176">
              <w:rPr>
                <w:rStyle w:val="af1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 ЗАГАЛЬНІ ПОЛОЖЕННЯ</w:t>
            </w:r>
            <w:r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_Toc210741903 \h </w:instrText>
            </w:r>
            <w:r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A47F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0634D4" w14:textId="228B279A" w:rsidR="00864A98" w:rsidRPr="001F5176" w:rsidRDefault="008A47FC" w:rsidP="005A0EA1">
          <w:pPr>
            <w:pStyle w:val="11"/>
            <w:tabs>
              <w:tab w:val="right" w:leader="dot" w:pos="977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741904" w:history="1">
            <w:r w:rsidR="00864A98" w:rsidRPr="001F5176">
              <w:rPr>
                <w:rStyle w:val="af1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 ВИЗНАЧЕННЯ ТА СКОРОЧЕННЯ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_Toc210741904 \h </w:instrTex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257691" w14:textId="6C5D3EFB" w:rsidR="00864A98" w:rsidRPr="001F5176" w:rsidRDefault="008A47FC" w:rsidP="005A0EA1">
          <w:pPr>
            <w:pStyle w:val="11"/>
            <w:tabs>
              <w:tab w:val="right" w:leader="dot" w:pos="977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741905" w:history="1">
            <w:r w:rsidR="00864A98" w:rsidRPr="001F5176">
              <w:rPr>
                <w:rStyle w:val="af1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 КРИТЕРІЇ ЗАЛУЧЕННЯ СУБ’ЄКТІВ АУДИТОРСЬКОЇ ДІЯЛЬНОСТІ ДО УЧАСТІ В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_Toc210741905 \h </w:instrTex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427270" w14:textId="30322BE9" w:rsidR="00864A98" w:rsidRPr="001F5176" w:rsidRDefault="008A47FC" w:rsidP="005A0EA1">
          <w:pPr>
            <w:pStyle w:val="11"/>
            <w:tabs>
              <w:tab w:val="right" w:leader="dot" w:pos="977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741906" w:history="1">
            <w:r w:rsidR="00864A98" w:rsidRPr="001F5176">
              <w:rPr>
                <w:rStyle w:val="af1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 ПОРЯДОК ПОДАННЯ ТА РОЗГЛЯДУ КОНКУРСНИХ ПРОПОЗИЦІЙ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_Toc210741906 \h </w:instrTex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2D23C2" w14:textId="2C087D64" w:rsidR="00864A98" w:rsidRPr="001F5176" w:rsidRDefault="008A47FC" w:rsidP="005A0EA1">
          <w:pPr>
            <w:pStyle w:val="11"/>
            <w:tabs>
              <w:tab w:val="right" w:leader="dot" w:pos="977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741907" w:history="1">
            <w:r w:rsidR="00864A98" w:rsidRPr="001F5176">
              <w:rPr>
                <w:rStyle w:val="af1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 ПРИПИНЕННЯ СПІВПРАЦІ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_Toc210741907 \h </w:instrTex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C180B4" w14:textId="34D0305C" w:rsidR="00864A98" w:rsidRPr="001F5176" w:rsidRDefault="008A47FC" w:rsidP="005A0EA1">
          <w:pPr>
            <w:pStyle w:val="11"/>
            <w:tabs>
              <w:tab w:val="right" w:leader="dot" w:pos="9770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10741908" w:history="1">
            <w:r w:rsidR="00864A98" w:rsidRPr="001F5176">
              <w:rPr>
                <w:rStyle w:val="af1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6. ПРИКІНЦЕВІ ПОЛОЖЕННЯ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_Toc210741908 \h </w:instrTex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864A98" w:rsidRPr="001F517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8C4D02" w14:textId="5078F3D7" w:rsidR="00864A98" w:rsidRPr="001F5176" w:rsidRDefault="00864A98" w:rsidP="005A0EA1">
          <w:pPr>
            <w:spacing w:line="360" w:lineRule="auto"/>
            <w:rPr>
              <w:rFonts w:ascii="Times New Roman" w:hAnsi="Times New Roman" w:cs="Times New Roman"/>
            </w:rPr>
          </w:pPr>
          <w:r w:rsidRPr="001F517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14ECA82" w14:textId="77777777" w:rsidR="005A0EA1" w:rsidRPr="001F5176" w:rsidRDefault="005A0EA1" w:rsidP="005A0EA1">
      <w:pPr>
        <w:spacing w:line="36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210741903"/>
      <w:r w:rsidRPr="001F517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A501BF3" w14:textId="6FCFC894" w:rsidR="006E6AE4" w:rsidRPr="001F5176" w:rsidRDefault="0068478F" w:rsidP="005A0EA1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F517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</w:t>
      </w:r>
      <w:r w:rsidR="006E6AE4" w:rsidRPr="001F5176">
        <w:rPr>
          <w:rFonts w:ascii="Times New Roman" w:hAnsi="Times New Roman" w:cs="Times New Roman"/>
          <w:b/>
          <w:bCs/>
          <w:color w:val="auto"/>
          <w:sz w:val="24"/>
          <w:szCs w:val="24"/>
        </w:rPr>
        <w:t>. ЗАГАЛЬНІ ПОЛОЖЕННЯ</w:t>
      </w:r>
      <w:bookmarkEnd w:id="0"/>
    </w:p>
    <w:p w14:paraId="14705EE4" w14:textId="5439D2C6" w:rsidR="006E6AE4" w:rsidRPr="001F5176" w:rsidRDefault="006E6AE4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1.1. Порядок проведення конкурсу з відбору суб’єктів аудиторської діяльності для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надання послуг обов’язкового аудиту фінансової звітності </w:t>
      </w:r>
      <w:r w:rsidR="005A0EA1" w:rsidRPr="001F5176">
        <w:rPr>
          <w:rFonts w:ascii="Times New Roman" w:hAnsi="Times New Roman"/>
          <w:bCs/>
          <w:sz w:val="24"/>
          <w:szCs w:val="24"/>
        </w:rPr>
        <w:t xml:space="preserve">ПОВНОГО ТОВАРИСТВА «ЛОМБАРД ДОНКРЕДИТ ТОВАРИСТВО З ОБМЕЖЕНОЮ ВІДПОВІДАЛЬНІСТЮ «IHTEP-PIEЛTI» І КОМПАНІЯ» </w:t>
      </w:r>
      <w:r w:rsidRPr="001F5176">
        <w:rPr>
          <w:rFonts w:ascii="Times New Roman" w:hAnsi="Times New Roman" w:cs="Times New Roman"/>
          <w:sz w:val="24"/>
          <w:szCs w:val="24"/>
        </w:rPr>
        <w:t>(далі – Порядок) розроблений на виконання вимог Закону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України «Про аудит фінансової звітності та аудиторську діяльність» (далі – Закон) з метою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проведення конкурсного відбору суб’єктів аудиторської діяльності, які можуть бути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призначені для надання послуг з обов’язкового аудиту фінансової звітності </w:t>
      </w:r>
      <w:r w:rsidR="005A0EA1" w:rsidRPr="001F5176">
        <w:rPr>
          <w:rFonts w:ascii="Times New Roman" w:hAnsi="Times New Roman"/>
          <w:bCs/>
          <w:sz w:val="24"/>
          <w:szCs w:val="24"/>
        </w:rPr>
        <w:t xml:space="preserve">ПОВНОГО ТОВАРИСТВА «ЛОМБАРД ДОНКРЕДИТ ТОВАРИСТВО З ОБМЕЖЕНОЮ ВІДПОВІДАЛЬНІСТЮ «IHTEP-PIEЛTI» І КОМПАНІЯ» </w:t>
      </w:r>
      <w:r w:rsidRPr="001F5176">
        <w:rPr>
          <w:rFonts w:ascii="Times New Roman" w:hAnsi="Times New Roman" w:cs="Times New Roman"/>
          <w:sz w:val="24"/>
          <w:szCs w:val="24"/>
        </w:rPr>
        <w:t>(далі – Конкурс).</w:t>
      </w:r>
    </w:p>
    <w:p w14:paraId="35F51490" w14:textId="3D2267A1" w:rsidR="006E6AE4" w:rsidRPr="001F5176" w:rsidRDefault="006E6AE4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1.2. Інформація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 про</w:t>
      </w:r>
      <w:r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="005A0EA1" w:rsidRPr="001F5176">
        <w:rPr>
          <w:rFonts w:ascii="Times New Roman" w:hAnsi="Times New Roman"/>
          <w:bCs/>
          <w:sz w:val="24"/>
          <w:szCs w:val="24"/>
        </w:rPr>
        <w:t>ПОВНЕ ТОВАРИСТВО «ЛОМБАРД ДОНКРЕДИТ ТОВАРИСТВО З ОБМЕЖЕНОЮ ВІДПОВІДАЛЬНІСТЮ «IHTEP-PIEЛTI» І КОМПАНІЯ»</w:t>
      </w:r>
      <w:r w:rsidR="005A0EA1" w:rsidRPr="001F5176">
        <w:rPr>
          <w:rFonts w:ascii="Times New Roman" w:hAnsi="Times New Roman"/>
          <w:b/>
          <w:sz w:val="24"/>
          <w:szCs w:val="24"/>
        </w:rPr>
        <w:t>:</w:t>
      </w:r>
    </w:p>
    <w:p w14:paraId="4D444664" w14:textId="34344F42" w:rsidR="006E6AE4" w:rsidRPr="001F5176" w:rsidRDefault="006E6AE4" w:rsidP="008A47FC">
      <w:pPr>
        <w:pStyle w:val="a7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Повне найменування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: </w:t>
      </w:r>
      <w:r w:rsidR="005A0EA1" w:rsidRPr="001F5176">
        <w:rPr>
          <w:rFonts w:ascii="Times New Roman" w:hAnsi="Times New Roman"/>
          <w:bCs/>
          <w:sz w:val="24"/>
          <w:szCs w:val="24"/>
        </w:rPr>
        <w:t>ПОВНЕ ТОВАРИСТВО «ЛОМБАРД ДОНКРЕДИТ ТОВАРИСТВО З ОБМЕЖЕНОЮ ВІДПОВІДАЛЬНІСТЮ «IHTEP-PIEЛTI» І КОМПАНІЯ» (далі – Товариство).</w:t>
      </w:r>
    </w:p>
    <w:p w14:paraId="5A0CEFE9" w14:textId="48696CFA" w:rsidR="006E6AE4" w:rsidRPr="001F5176" w:rsidRDefault="006E6AE4" w:rsidP="008A47FC">
      <w:pPr>
        <w:pStyle w:val="a7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За критеріями, визначеними Законом України «Про бухгалтерський облік та фінансову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звітність в Україні»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 № 996-</w:t>
      </w:r>
      <w:r w:rsidR="00037BD1" w:rsidRPr="001F5176">
        <w:rPr>
          <w:rFonts w:ascii="Times New Roman" w:hAnsi="Times New Roman" w:cs="Times New Roman"/>
          <w:sz w:val="24"/>
          <w:szCs w:val="24"/>
        </w:rPr>
        <w:t>ХІV від 16.07.1999 року</w:t>
      </w:r>
      <w:r w:rsidRPr="001F5176">
        <w:rPr>
          <w:rFonts w:ascii="Times New Roman" w:hAnsi="Times New Roman" w:cs="Times New Roman"/>
          <w:sz w:val="24"/>
          <w:szCs w:val="24"/>
        </w:rPr>
        <w:t>, Товариство відноситься до підприємства, що становить суспільний</w:t>
      </w:r>
      <w:r w:rsidR="005A0EA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інтерес.</w:t>
      </w:r>
    </w:p>
    <w:p w14:paraId="3DB610FC" w14:textId="73462E5F" w:rsidR="006E6AE4" w:rsidRPr="001F5176" w:rsidRDefault="006E6AE4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1.3. Основним завданням з обов’язкового аудиту фінансової звітності Товариства є</w:t>
      </w:r>
      <w:r w:rsidR="00037BD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надання обґрунтованої впевненості суб’єктом аудиторської діяльності, що приймається і</w:t>
      </w:r>
      <w:r w:rsidR="00037BD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виконується</w:t>
      </w:r>
      <w:r w:rsidR="00037BD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суб’єктом аудиторської діяльності відповідно до вимог Закону та міжнародних</w:t>
      </w:r>
      <w:r w:rsidR="00037BD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стандартів аудиту шляхом перевірки фінансової звітності </w:t>
      </w:r>
      <w:r w:rsidR="00037BD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 метою висловлення незалежної думки аудитора</w:t>
      </w:r>
      <w:r w:rsidR="00037BD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про її відповідність в усіх</w:t>
      </w:r>
      <w:r w:rsidR="00037BD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суттєвих аспектах</w:t>
      </w:r>
      <w:r w:rsidR="0068478F" w:rsidRPr="001F5176">
        <w:rPr>
          <w:rFonts w:ascii="Times New Roman" w:hAnsi="Times New Roman" w:cs="Times New Roman"/>
          <w:sz w:val="24"/>
          <w:szCs w:val="24"/>
        </w:rPr>
        <w:t xml:space="preserve"> та</w:t>
      </w:r>
      <w:r w:rsidRPr="001F5176">
        <w:rPr>
          <w:rFonts w:ascii="Times New Roman" w:hAnsi="Times New Roman" w:cs="Times New Roman"/>
          <w:sz w:val="24"/>
          <w:szCs w:val="24"/>
        </w:rPr>
        <w:t xml:space="preserve"> відповідність вимогам міжнародних стандартів</w:t>
      </w:r>
      <w:r w:rsidR="00037BD1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фінансової звітності </w:t>
      </w:r>
    </w:p>
    <w:p w14:paraId="0CB662E6" w14:textId="77777777" w:rsidR="006E6AE4" w:rsidRPr="001F5176" w:rsidRDefault="006E6AE4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1.4. Відбір суб’єктів аудиторської діяльності здійснюється за такими принципами:</w:t>
      </w:r>
    </w:p>
    <w:p w14:paraId="4BFCD2BE" w14:textId="03AFF8F6" w:rsidR="006E6AE4" w:rsidRPr="001F5176" w:rsidRDefault="006E6AE4" w:rsidP="008A47FC">
      <w:pPr>
        <w:pStyle w:val="a7"/>
        <w:numPr>
          <w:ilvl w:val="1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відкритість та прозорість конкурсу;</w:t>
      </w:r>
    </w:p>
    <w:p w14:paraId="3D2D9DE9" w14:textId="6B4B86C0" w:rsidR="006E6AE4" w:rsidRPr="001F5176" w:rsidRDefault="006E6AE4" w:rsidP="008A47FC">
      <w:pPr>
        <w:pStyle w:val="a7"/>
        <w:numPr>
          <w:ilvl w:val="1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максимальна економія та ефективність;</w:t>
      </w:r>
    </w:p>
    <w:p w14:paraId="1A0FDA26" w14:textId="1A8FB348" w:rsidR="006E6AE4" w:rsidRPr="001F5176" w:rsidRDefault="006E6AE4" w:rsidP="008A47FC">
      <w:pPr>
        <w:pStyle w:val="a7"/>
        <w:numPr>
          <w:ilvl w:val="1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добросовісна конкуренція серед учасників конкурсу;</w:t>
      </w:r>
    </w:p>
    <w:p w14:paraId="6D30A9DC" w14:textId="4BEB4EE8" w:rsidR="006E6AE4" w:rsidRPr="001F5176" w:rsidRDefault="006E6AE4" w:rsidP="008A47FC">
      <w:pPr>
        <w:pStyle w:val="a7"/>
        <w:numPr>
          <w:ilvl w:val="1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відсутність дискримінації учасників конкурсу;</w:t>
      </w:r>
    </w:p>
    <w:p w14:paraId="7EF156C0" w14:textId="443AC77B" w:rsidR="006E6AE4" w:rsidRPr="001F5176" w:rsidRDefault="006E6AE4" w:rsidP="008A47FC">
      <w:pPr>
        <w:pStyle w:val="a7"/>
        <w:numPr>
          <w:ilvl w:val="1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об’єктивна та неупереджена оцінка конкурсних пропозицій;</w:t>
      </w:r>
    </w:p>
    <w:p w14:paraId="0B9A1171" w14:textId="62F8A4D7" w:rsidR="006E6AE4" w:rsidRPr="001F5176" w:rsidRDefault="006E6AE4" w:rsidP="008A47FC">
      <w:pPr>
        <w:pStyle w:val="a7"/>
        <w:numPr>
          <w:ilvl w:val="1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запобігання корупційним діям і зловживанням.</w:t>
      </w:r>
    </w:p>
    <w:p w14:paraId="158C7387" w14:textId="2A88C47F" w:rsidR="006E6AE4" w:rsidRPr="001F5176" w:rsidRDefault="006E6AE4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1.5. Товариство (Замовник) забезпечує вільний доступ усіх учасників до участі у</w:t>
      </w:r>
      <w:r w:rsidR="00D37C08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конкурсі відповідно до цього Порядку.</w:t>
      </w:r>
    </w:p>
    <w:p w14:paraId="4838B06C" w14:textId="47682764" w:rsidR="006E6AE4" w:rsidRPr="001F5176" w:rsidRDefault="006E6AE4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F5176">
        <w:rPr>
          <w:rFonts w:ascii="Times New Roman" w:hAnsi="Times New Roman" w:cs="Times New Roman"/>
          <w:sz w:val="24"/>
          <w:szCs w:val="24"/>
        </w:rPr>
        <w:t>1.</w:t>
      </w:r>
      <w:r w:rsidR="00D37C08" w:rsidRPr="001F5176">
        <w:rPr>
          <w:rFonts w:ascii="Times New Roman" w:hAnsi="Times New Roman" w:cs="Times New Roman"/>
          <w:sz w:val="24"/>
          <w:szCs w:val="24"/>
        </w:rPr>
        <w:t>6</w:t>
      </w:r>
      <w:r w:rsidRPr="001F5176">
        <w:rPr>
          <w:rFonts w:ascii="Times New Roman" w:hAnsi="Times New Roman" w:cs="Times New Roman"/>
          <w:sz w:val="24"/>
          <w:szCs w:val="24"/>
        </w:rPr>
        <w:t>. Відповідальним за проведення Конкурсу є</w:t>
      </w:r>
      <w:r w:rsidR="0018143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="00EA24DC" w:rsidRPr="001F5176">
        <w:rPr>
          <w:rFonts w:ascii="Times New Roman" w:hAnsi="Times New Roman" w:cs="Times New Roman"/>
          <w:sz w:val="24"/>
          <w:szCs w:val="24"/>
        </w:rPr>
        <w:t>ф</w:t>
      </w:r>
      <w:r w:rsidR="0018143F" w:rsidRPr="001F5176">
        <w:rPr>
          <w:rFonts w:ascii="Times New Roman" w:hAnsi="Times New Roman" w:cs="Times New Roman"/>
          <w:sz w:val="24"/>
          <w:szCs w:val="24"/>
        </w:rPr>
        <w:t>інансовий директор</w:t>
      </w:r>
      <w:r w:rsidR="00EA24DC" w:rsidRPr="001F5176">
        <w:rPr>
          <w:rFonts w:ascii="Times New Roman" w:hAnsi="Times New Roman" w:cs="Times New Roman"/>
          <w:sz w:val="24"/>
          <w:szCs w:val="24"/>
        </w:rPr>
        <w:t xml:space="preserve"> Товариства</w:t>
      </w:r>
      <w:r w:rsidR="0018143F" w:rsidRPr="001F5176">
        <w:rPr>
          <w:rFonts w:ascii="Times New Roman" w:hAnsi="Times New Roman" w:cs="Times New Roman"/>
          <w:sz w:val="24"/>
          <w:szCs w:val="24"/>
        </w:rPr>
        <w:t>.</w:t>
      </w:r>
    </w:p>
    <w:p w14:paraId="7B90D549" w14:textId="6B2B2F3C" w:rsidR="00F26496" w:rsidRPr="001F5176" w:rsidRDefault="0068478F" w:rsidP="005A0EA1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10741904"/>
      <w:r w:rsidRPr="001F517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</w:t>
      </w:r>
      <w:r w:rsidR="00F26496" w:rsidRPr="001F5176">
        <w:rPr>
          <w:rFonts w:ascii="Times New Roman" w:hAnsi="Times New Roman" w:cs="Times New Roman"/>
          <w:b/>
          <w:bCs/>
          <w:color w:val="auto"/>
          <w:sz w:val="24"/>
          <w:szCs w:val="24"/>
        </w:rPr>
        <w:t>. ВИЗНАЧЕННЯ ТА СКОРОЧЕННЯ</w:t>
      </w:r>
      <w:bookmarkEnd w:id="1"/>
    </w:p>
    <w:p w14:paraId="6F4CBB2F" w14:textId="6EF5EEEF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2.1.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Аудит фінансової звітності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</w:t>
      </w:r>
      <w:r w:rsidR="004779FE" w:rsidRPr="001F5176">
        <w:rPr>
          <w:rFonts w:ascii="Times New Roman" w:hAnsi="Times New Roman" w:cs="Times New Roman"/>
          <w:sz w:val="24"/>
          <w:szCs w:val="24"/>
        </w:rPr>
        <w:t>аудиторська послуга з перевірки даних бухгалтерського обліку і показників фінансової звітності та/або консолідованої фінансової звітності юридичної особи або представництва іноземного суб’єкта господарювання, або іншого суб’єкта, який подає фінансову звітність та консолідовану фінансову звітність групи, з метою висловлення незалежної думки аудитора про її відповідність в усіх суттєвих аспектах вимогам національних положень (стандартів) бухгалтерського обліку, міжнародних стандартів фінансової звітності або іншим вимогам</w:t>
      </w:r>
      <w:r w:rsidRPr="001F5176">
        <w:rPr>
          <w:rFonts w:ascii="Times New Roman" w:hAnsi="Times New Roman" w:cs="Times New Roman"/>
          <w:sz w:val="24"/>
          <w:szCs w:val="24"/>
        </w:rPr>
        <w:t>.</w:t>
      </w:r>
    </w:p>
    <w:p w14:paraId="079B4957" w14:textId="6EF8CEFE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2.2.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Аудитор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фізична особа, яка підтвердила кваліфікаційну придатність до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провадження аудиторської діяльності, має відповідний практичний досвід та зареєстрована у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Реєстрі аудиторів та суб’єктів аудиторської діяльності.</w:t>
      </w:r>
    </w:p>
    <w:p w14:paraId="589FFBF6" w14:textId="32472BBC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2.3.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Аудиторська діяльність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незалежна професійна діяльність аудиторів та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суб’єктів аудиторської діяльності, зареєстрованих у Реєстрі аудиторів та суб’єктів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аудиторської діяльності, з надання аудиторських послуг.</w:t>
      </w:r>
    </w:p>
    <w:p w14:paraId="6F658BA8" w14:textId="59F7902E" w:rsidR="004779FE" w:rsidRPr="001F5176" w:rsidRDefault="004779FE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2.4.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Аудиторська фірма</w:t>
      </w:r>
      <w:r w:rsidRPr="001F5176">
        <w:rPr>
          <w:rFonts w:ascii="Times New Roman" w:hAnsi="Times New Roman" w:cs="Times New Roman"/>
          <w:sz w:val="24"/>
          <w:szCs w:val="24"/>
        </w:rPr>
        <w:t xml:space="preserve"> - юридична особа, яка провадить аудиторську діяльність на підставах та в порядку, що передбачені цим Законом та міжнародними стандартами аудиту, а також може надавати неаудиторські послуги.</w:t>
      </w:r>
    </w:p>
    <w:p w14:paraId="5C4D2377" w14:textId="37EFEBDF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2.</w:t>
      </w:r>
      <w:r w:rsidR="004779FE" w:rsidRPr="001F5176">
        <w:rPr>
          <w:rFonts w:ascii="Times New Roman" w:hAnsi="Times New Roman" w:cs="Times New Roman"/>
          <w:sz w:val="24"/>
          <w:szCs w:val="24"/>
        </w:rPr>
        <w:t>5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Аудиторський звіт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документ, підготовлений суб’єктом аудиторської діяльності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відповідно до міжнародних стандартів аудиту та вимог Закону за результатами аудиту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68478F" w:rsidRPr="001F5176">
        <w:rPr>
          <w:rFonts w:ascii="Times New Roman" w:hAnsi="Times New Roman" w:cs="Times New Roman"/>
          <w:sz w:val="24"/>
          <w:szCs w:val="24"/>
        </w:rPr>
        <w:t>.</w:t>
      </w:r>
    </w:p>
    <w:p w14:paraId="1CA74A22" w14:textId="36D677B1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2.</w:t>
      </w:r>
      <w:r w:rsidR="004779FE" w:rsidRPr="001F5176">
        <w:rPr>
          <w:rFonts w:ascii="Times New Roman" w:hAnsi="Times New Roman" w:cs="Times New Roman"/>
          <w:sz w:val="24"/>
          <w:szCs w:val="24"/>
        </w:rPr>
        <w:t>6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Добра репутація аудитора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репутація, за якої протягом двох років поспіль до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аудитора не застосовувалося стягнення три і більше разів або не накладалися адміністративні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стягнення за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порушення вимог цього Закону двічі протягом 12 календарних місяців.</w:t>
      </w:r>
    </w:p>
    <w:p w14:paraId="4531A13D" w14:textId="08A78560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2.</w:t>
      </w:r>
      <w:r w:rsidR="004779FE" w:rsidRPr="001F5176">
        <w:rPr>
          <w:rFonts w:ascii="Times New Roman" w:hAnsi="Times New Roman" w:cs="Times New Roman"/>
          <w:sz w:val="24"/>
          <w:szCs w:val="24"/>
        </w:rPr>
        <w:t>7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Добра репутація аудиторської фірми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репутація, за якої до аудиторської фірми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не застосовувалося стягнення у вигляді попередження або зупинення права на надання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послуг з обов’язкового аудиту фінансової звітності три та більше разів протягом 24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календарних місяців.</w:t>
      </w:r>
    </w:p>
    <w:p w14:paraId="6A31D420" w14:textId="64797CEE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2.</w:t>
      </w:r>
      <w:r w:rsidR="004779FE" w:rsidRPr="001F5176">
        <w:rPr>
          <w:rFonts w:ascii="Times New Roman" w:hAnsi="Times New Roman" w:cs="Times New Roman"/>
          <w:sz w:val="24"/>
          <w:szCs w:val="24"/>
        </w:rPr>
        <w:t>8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Конфлікт інтересів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суперечність між особистими майновими, немайновими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інтересами аудитора (посадових осіб аудиторської фірми) та його (їх) професійними правами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і обов’язками, наявність якої може вплинути на об’єктивність або неупередженість під час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виконання ним (ними) своїх професійних обов’язків, а також на вчинення чи невчинення ним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(ними) дій.</w:t>
      </w:r>
    </w:p>
    <w:p w14:paraId="45118344" w14:textId="299BEA33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2.</w:t>
      </w:r>
      <w:r w:rsidR="004779FE" w:rsidRPr="001F5176">
        <w:rPr>
          <w:rFonts w:ascii="Times New Roman" w:hAnsi="Times New Roman" w:cs="Times New Roman"/>
          <w:sz w:val="24"/>
          <w:szCs w:val="24"/>
        </w:rPr>
        <w:t>9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Міжнародні стандарти аудиту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сукупність професійних стандартів, що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встановлюють правила надання аудиторських послуг і розкривають питання етики та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контролю якості (управління якістю), які визначені міжнародними стандартами контролю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якості (управління </w:t>
      </w:r>
      <w:r w:rsidRPr="001F5176">
        <w:rPr>
          <w:rFonts w:ascii="Times New Roman" w:hAnsi="Times New Roman" w:cs="Times New Roman"/>
          <w:sz w:val="24"/>
          <w:szCs w:val="24"/>
        </w:rPr>
        <w:lastRenderedPageBreak/>
        <w:t>якістю), аудиту, огляду, іншого надання впевненості та супутніх послуг,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прийнятими Радою з міжнародних стандартів аудиту та надання впевненості, а також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Міжнародним кодексом етики, прийнятим Радою з міжнародних стандартів етики для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бухгалтерів, які оприлюднені Міжнародною федерацією бухгалтерів.</w:t>
      </w:r>
    </w:p>
    <w:p w14:paraId="70480629" w14:textId="5E5C8098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2.</w:t>
      </w:r>
      <w:r w:rsidR="004779FE" w:rsidRPr="001F5176">
        <w:rPr>
          <w:rFonts w:ascii="Times New Roman" w:hAnsi="Times New Roman" w:cs="Times New Roman"/>
          <w:sz w:val="24"/>
          <w:szCs w:val="24"/>
        </w:rPr>
        <w:t>10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Обов’язковий аудит фінансової звітності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аудит фінансової звітності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(консолідованої фінансової звітності) суб’єктів господарювання (їх груп), утворень без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статусу юридичної особи, які відповідно до законодавства зобов’язані оприлюднити або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надати таку фінансову звітність (консолідовану фінансову звітність), користувачам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фінансової звітності разом з аудиторським звітом, а також комбінованої (субконсолідованої)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фінансової звітності небанківських фінансових груп, інших утворень, які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відповідно до законодавства зобов’язані надати таку звітність разом зі звітом суб’єкта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аудиторської діяльності, що проводиться суб’єктами аудиторської діяльності на підставах та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="002C26A7" w:rsidRPr="001F5176">
        <w:rPr>
          <w:rFonts w:ascii="Times New Roman" w:hAnsi="Times New Roman" w:cs="Times New Roman"/>
          <w:sz w:val="24"/>
          <w:szCs w:val="24"/>
        </w:rPr>
        <w:t xml:space="preserve">з порядку </w:t>
      </w:r>
      <w:r w:rsidRPr="001F5176">
        <w:rPr>
          <w:rFonts w:ascii="Times New Roman" w:hAnsi="Times New Roman" w:cs="Times New Roman"/>
          <w:sz w:val="24"/>
          <w:szCs w:val="24"/>
        </w:rPr>
        <w:t>передбачених Законом.</w:t>
      </w:r>
    </w:p>
    <w:p w14:paraId="75F99719" w14:textId="7DE660F6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2.1</w:t>
      </w:r>
      <w:r w:rsidR="004779FE" w:rsidRPr="001F5176">
        <w:rPr>
          <w:rFonts w:ascii="Times New Roman" w:hAnsi="Times New Roman" w:cs="Times New Roman"/>
          <w:sz w:val="24"/>
          <w:szCs w:val="24"/>
        </w:rPr>
        <w:t>1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Реєстр аудиторів та суб’єктів аудиторської діяльності</w:t>
      </w:r>
      <w:r w:rsidRPr="001F5176">
        <w:rPr>
          <w:rFonts w:ascii="Times New Roman" w:hAnsi="Times New Roman" w:cs="Times New Roman"/>
          <w:sz w:val="24"/>
          <w:szCs w:val="24"/>
        </w:rPr>
        <w:t xml:space="preserve"> (далі – Реєстр) –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інформаційно-комунікаційна система, що забезпечує збирання, накопичення, захист, облік,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відображення, оброблення реєстрових даних та надання реєстрової інформації про аудиторів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та суб’єктів аудиторської діяльності, які мають право на провадження аудиторської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діяльності в Україні, а також містить іншу інформацію відповідно до вимог Закону.</w:t>
      </w:r>
    </w:p>
    <w:p w14:paraId="75DD7747" w14:textId="3676AD96" w:rsidR="00F26496" w:rsidRPr="001F5176" w:rsidRDefault="00F26496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2.1</w:t>
      </w:r>
      <w:r w:rsidR="004779FE" w:rsidRPr="001F5176">
        <w:rPr>
          <w:rFonts w:ascii="Times New Roman" w:hAnsi="Times New Roman" w:cs="Times New Roman"/>
          <w:sz w:val="24"/>
          <w:szCs w:val="24"/>
        </w:rPr>
        <w:t>2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  <w:r w:rsidRPr="001F5176">
        <w:rPr>
          <w:rFonts w:ascii="Times New Roman" w:hAnsi="Times New Roman" w:cs="Times New Roman"/>
          <w:b/>
          <w:bCs/>
          <w:sz w:val="24"/>
          <w:szCs w:val="24"/>
        </w:rPr>
        <w:t>Суб’єкт аудиторської діяльності</w:t>
      </w:r>
      <w:r w:rsidRPr="001F5176">
        <w:rPr>
          <w:rFonts w:ascii="Times New Roman" w:hAnsi="Times New Roman" w:cs="Times New Roman"/>
          <w:sz w:val="24"/>
          <w:szCs w:val="24"/>
        </w:rPr>
        <w:t xml:space="preserve"> – аудиторська фірма або аудитор, що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відповідає таким критеріям: провадить аудиторську діяльність як фізична особа -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підприємець або провадить незалежну професійну діяльність; набув права на провадження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аудиторської діяльності на підставах та </w:t>
      </w:r>
      <w:r w:rsidR="002C26A7" w:rsidRPr="001F5176">
        <w:rPr>
          <w:rFonts w:ascii="Times New Roman" w:hAnsi="Times New Roman" w:cs="Times New Roman"/>
          <w:sz w:val="24"/>
          <w:szCs w:val="24"/>
        </w:rPr>
        <w:t>з порядку</w:t>
      </w:r>
      <w:r w:rsidRPr="001F5176">
        <w:rPr>
          <w:rFonts w:ascii="Times New Roman" w:hAnsi="Times New Roman" w:cs="Times New Roman"/>
          <w:sz w:val="24"/>
          <w:szCs w:val="24"/>
        </w:rPr>
        <w:t>, передбачених Законом; зареєстрований у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Реєстрі як суб’єкт аудиторської діяльності.</w:t>
      </w:r>
    </w:p>
    <w:p w14:paraId="05E7E300" w14:textId="1B72CD72" w:rsidR="00A82D60" w:rsidRPr="001F5176" w:rsidRDefault="002C26A7" w:rsidP="004779FE">
      <w:pPr>
        <w:spacing w:before="240" w:line="36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10741905"/>
      <w:r w:rsidRPr="001F5176">
        <w:rPr>
          <w:rStyle w:val="10"/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="00A82D60" w:rsidRPr="001F5176">
        <w:rPr>
          <w:rStyle w:val="1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КРИТЕРІЇ ЗАЛУЧЕННЯ СУБ’ЄКТІВ АУДИТОРСЬКОЇ ДІЯЛЬНОСТІ ДО</w:t>
      </w:r>
      <w:r w:rsidRPr="001F5176">
        <w:rPr>
          <w:rStyle w:val="1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82D60" w:rsidRPr="001F5176">
        <w:rPr>
          <w:rStyle w:val="10"/>
          <w:rFonts w:ascii="Times New Roman" w:hAnsi="Times New Roman" w:cs="Times New Roman"/>
          <w:b/>
          <w:bCs/>
          <w:color w:val="auto"/>
          <w:sz w:val="24"/>
          <w:szCs w:val="24"/>
        </w:rPr>
        <w:t>УЧАСТІ В</w:t>
      </w:r>
      <w:bookmarkEnd w:id="2"/>
      <w:r w:rsidR="00A82D60" w:rsidRPr="001F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D60" w:rsidRPr="001F5176">
        <w:rPr>
          <w:rStyle w:val="10"/>
          <w:rFonts w:ascii="Times New Roman" w:hAnsi="Times New Roman" w:cs="Times New Roman"/>
          <w:b/>
          <w:bCs/>
          <w:color w:val="auto"/>
          <w:sz w:val="24"/>
          <w:szCs w:val="24"/>
        </w:rPr>
        <w:t>КОНКУРСІ</w:t>
      </w:r>
    </w:p>
    <w:p w14:paraId="0155BA42" w14:textId="1D807B68" w:rsidR="00A82D60" w:rsidRPr="001F5176" w:rsidRDefault="00A82D60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3.1. Аудиторські послуги можуть надаватись лише суб’єктом аудиторської діяльності,</w:t>
      </w:r>
      <w:r w:rsidR="004779FE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якому таке право надано на підставі Закону і який відповідає наступним критеріям:</w:t>
      </w:r>
    </w:p>
    <w:p w14:paraId="6A161089" w14:textId="47921848" w:rsidR="00A82D60" w:rsidRPr="008A47FC" w:rsidRDefault="00A82D60" w:rsidP="008A47FC">
      <w:pPr>
        <w:pStyle w:val="a7"/>
        <w:numPr>
          <w:ilvl w:val="1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відповідає встановленим Законом вимогам включений до відповідного розділу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Реєстру аудиторів та суб’єктів аудиторської діяльності;</w:t>
      </w:r>
    </w:p>
    <w:p w14:paraId="722B840E" w14:textId="3DD5074E" w:rsidR="00A82D60" w:rsidRPr="008A47FC" w:rsidRDefault="00A82D60" w:rsidP="008A47FC">
      <w:pPr>
        <w:pStyle w:val="a7"/>
        <w:numPr>
          <w:ilvl w:val="1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має достатній рівень кваліфікації та досвіду аудиторів і персоналу, який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залучається до надання послуг, відповідно до міжнародних стандартів аудиту;</w:t>
      </w:r>
    </w:p>
    <w:p w14:paraId="0A75F35E" w14:textId="04EFFE23" w:rsidR="00A82D60" w:rsidRPr="008A47FC" w:rsidRDefault="00A82D60" w:rsidP="008A47FC">
      <w:pPr>
        <w:pStyle w:val="a7"/>
        <w:numPr>
          <w:ilvl w:val="1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має добру репутацію;</w:t>
      </w:r>
    </w:p>
    <w:p w14:paraId="09EB9B52" w14:textId="7411A485" w:rsidR="00A82D60" w:rsidRPr="008A47FC" w:rsidRDefault="00A82D60" w:rsidP="008A47FC">
      <w:pPr>
        <w:pStyle w:val="a7"/>
        <w:numPr>
          <w:ilvl w:val="1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може забезпечити достатній рівень забезпеченості працівниками за основним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місцем роботи для виконання завдань з обов’язкового аудиту фінансової звітності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(за основним місцем роботи має працювати не менше п’яти аудиторів із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 xml:space="preserve">загальною чисельністю штатних </w:t>
      </w:r>
      <w:r w:rsidRPr="008A47FC">
        <w:rPr>
          <w:rFonts w:ascii="Times New Roman" w:hAnsi="Times New Roman" w:cs="Times New Roman"/>
          <w:sz w:val="24"/>
          <w:szCs w:val="24"/>
        </w:rPr>
        <w:lastRenderedPageBreak/>
        <w:t>кваліфікованих працівників, які залучаються до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виконання завдань, не менше 10 осіб, з яких щонайменше дві особи повинні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підтвердити кваліфікацію відповідно до статті 19 Закону або скласти іспит за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напрямом, зазначеним у пункті 7 частини 2 статті 19 Закону, або мати чинні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сертифікати (дипломи) професійних організацій, що підтверджують високий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рівень знань з міжнародних стандартів фінансової звітності);</w:t>
      </w:r>
    </w:p>
    <w:p w14:paraId="386B6C97" w14:textId="0A5F5FC3" w:rsidR="00A82D60" w:rsidRPr="008A47FC" w:rsidRDefault="00A82D60" w:rsidP="008A47FC">
      <w:pPr>
        <w:pStyle w:val="a7"/>
        <w:numPr>
          <w:ilvl w:val="1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відсутні порушення вимог щодо забезпечення незалежності суб’єкта аудиторської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діяльності, а тому числі аудитор, суб’єкт аудиторської діяльності, його ключові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партнери з аудиту, його власники (засновники, учасники), посадові особи і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працівники та інші особи, залучені до надання таких послуг, а також близькі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родичі та члени сім’ї зазначених осіб:</w:t>
      </w:r>
    </w:p>
    <w:p w14:paraId="5BCB8A45" w14:textId="03194BF3" w:rsidR="00A82D60" w:rsidRPr="001F5176" w:rsidRDefault="00A82D60" w:rsidP="00364D5D">
      <w:pPr>
        <w:pStyle w:val="a7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не є власниками фінансових інструментів, емітованих юридичною особою,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фінансова звітність якої підлягає перевірці або мають суттєвий та прямий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інтерес в отриманні вигоди від юридичної особи, або юридичної особи,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пов’язаної з такою юридичною особою спільною власністю, контролем та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управлінням, крім тих, що належать такій юридичній особі опосередковано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через інститути спільного інвестування;</w:t>
      </w:r>
    </w:p>
    <w:p w14:paraId="77DAC457" w14:textId="056D208A" w:rsidR="00A82D60" w:rsidRPr="001F5176" w:rsidRDefault="00A82D60" w:rsidP="00364D5D">
      <w:pPr>
        <w:pStyle w:val="a7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не беруть участь в операціях з фінансовими інструментами, емітованими,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гарантованими або іншим чином підтримуваними юридичною особою,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фінансова звітність якої підлягає перевірці, крім операцій в межах інститутів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спільного інвестування;</w:t>
      </w:r>
    </w:p>
    <w:p w14:paraId="0DA8D698" w14:textId="17D4D14A" w:rsidR="00A82D60" w:rsidRPr="001F5176" w:rsidRDefault="00A82D60" w:rsidP="00364D5D">
      <w:pPr>
        <w:pStyle w:val="a7"/>
        <w:numPr>
          <w:ilvl w:val="0"/>
          <w:numId w:val="6"/>
        </w:num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не перебували протягом періодів, зазначених у частині першій статті 10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Закону, у трудових, договірних або інших відносинах з юридичною особою,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якій надаються аудиторські послуги, що можуть призвести до конфлікту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інтересів;</w:t>
      </w:r>
    </w:p>
    <w:p w14:paraId="171D9039" w14:textId="40F8ECB0" w:rsidR="001D6105" w:rsidRPr="008A47FC" w:rsidRDefault="00A82D60" w:rsidP="008A47FC">
      <w:pPr>
        <w:pStyle w:val="a7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за попередній річний звітний період суми винагороди від кожного з підприємств,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що становлять суспільний інтерес, яким надавалися послуги з обов’язкового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аудиту фінансової звітності протягом цього періоду, не перевищувала 15%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 </w:t>
      </w:r>
      <w:r w:rsidR="001D6105" w:rsidRPr="008A47FC">
        <w:rPr>
          <w:rFonts w:ascii="Times New Roman" w:hAnsi="Times New Roman" w:cs="Times New Roman"/>
          <w:sz w:val="24"/>
          <w:szCs w:val="24"/>
        </w:rPr>
        <w:t>загальної суми доходу від надання аудиторських послуг;</w:t>
      </w:r>
    </w:p>
    <w:p w14:paraId="643287D9" w14:textId="0D21CB83" w:rsidR="001D6105" w:rsidRPr="008A47FC" w:rsidRDefault="001D6105" w:rsidP="008A47FC">
      <w:pPr>
        <w:pStyle w:val="a7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не має обмежень пов’язаних із тривалістю надання послуг Товариству;</w:t>
      </w:r>
    </w:p>
    <w:p w14:paraId="6E51EEFA" w14:textId="4AC98F39" w:rsidR="001D6105" w:rsidRPr="008A47FC" w:rsidRDefault="001D6105" w:rsidP="008A47FC">
      <w:pPr>
        <w:pStyle w:val="a7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відсутні обмеження щодо надання послуг передбачені статтею 27 Закону;</w:t>
      </w:r>
    </w:p>
    <w:p w14:paraId="7BAC5F26" w14:textId="44E2E640" w:rsidR="001D6105" w:rsidRPr="008A47FC" w:rsidRDefault="001D6105" w:rsidP="008A47FC">
      <w:pPr>
        <w:pStyle w:val="a7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має чинний договір страхування цивільно-правової відповідальності суб’єкта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аудиторської діяльності перед третіми особами, укладений відповідно до типової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форми договору страхування, затвердженої Національним банком України, за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погодженням з Органом суспільного нагляду за аудиторською діяльністю;</w:t>
      </w:r>
    </w:p>
    <w:p w14:paraId="2FDA173B" w14:textId="0B68A70F" w:rsidR="001D6105" w:rsidRPr="008A47FC" w:rsidRDefault="001D6105" w:rsidP="008A47FC">
      <w:pPr>
        <w:pStyle w:val="a7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47FC">
        <w:rPr>
          <w:rFonts w:ascii="Times New Roman" w:hAnsi="Times New Roman" w:cs="Times New Roman"/>
          <w:sz w:val="24"/>
          <w:szCs w:val="24"/>
        </w:rPr>
        <w:t>має досвід надання послуг щодо аудиту фінансової звітності відповідно до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міжнародних стандартів та досвід проведення аудиту фінансової звітності</w:t>
      </w:r>
      <w:r w:rsidR="00364D5D" w:rsidRPr="008A47FC">
        <w:rPr>
          <w:rFonts w:ascii="Times New Roman" w:hAnsi="Times New Roman" w:cs="Times New Roman"/>
          <w:sz w:val="24"/>
          <w:szCs w:val="24"/>
        </w:rPr>
        <w:t xml:space="preserve"> </w:t>
      </w:r>
      <w:r w:rsidRPr="008A47FC">
        <w:rPr>
          <w:rFonts w:ascii="Times New Roman" w:hAnsi="Times New Roman" w:cs="Times New Roman"/>
          <w:sz w:val="24"/>
          <w:szCs w:val="24"/>
        </w:rPr>
        <w:t>фінансових установ.</w:t>
      </w:r>
    </w:p>
    <w:p w14:paraId="6E1C0B6F" w14:textId="5AF34F60" w:rsidR="00264242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3.2. Якщо загальна сума винагороди, отримана суб’єктом аудиторської діяльності від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підприємства, що становить суспільний інтерес, за кожен з останніх трьох років поспіль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перевищує 15 відсотків загальної суми його чистого доходу від надання послуг, суб’єкт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lastRenderedPageBreak/>
        <w:t xml:space="preserve">аудиторської діяльності зобов’язаний поінформувати про </w:t>
      </w:r>
      <w:r w:rsidR="00264242" w:rsidRPr="001F5176">
        <w:rPr>
          <w:rFonts w:ascii="Times New Roman" w:hAnsi="Times New Roman" w:cs="Times New Roman"/>
          <w:sz w:val="24"/>
          <w:szCs w:val="24"/>
        </w:rPr>
        <w:t xml:space="preserve">це </w:t>
      </w:r>
      <w:r w:rsidRPr="001F5176">
        <w:rPr>
          <w:rFonts w:ascii="Times New Roman" w:hAnsi="Times New Roman" w:cs="Times New Roman"/>
          <w:sz w:val="24"/>
          <w:szCs w:val="24"/>
        </w:rPr>
        <w:t>підприємства і вжити заходів для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забезпечення незалежності, узгоджених з </w:t>
      </w:r>
      <w:r w:rsidR="00264242" w:rsidRPr="001F5176">
        <w:rPr>
          <w:rFonts w:ascii="Times New Roman" w:hAnsi="Times New Roman" w:cs="Times New Roman"/>
          <w:sz w:val="24"/>
          <w:szCs w:val="24"/>
        </w:rPr>
        <w:t xml:space="preserve">компанією </w:t>
      </w:r>
      <w:r w:rsidRPr="001F51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6C052" w14:textId="480F9B7D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3.3. Забороняється надання послуг з обов’язкового аудиту фінансової звітності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підприємству, що становить суспільний інтерес, якщо загальна сума винагороди, отримана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від цього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підприємства, щорічно перевищує 15% загальної суми чистого доходу від надання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послуг таким суб’єктом аудиторської діяльності впродовж п’яти років поспіль.</w:t>
      </w:r>
    </w:p>
    <w:p w14:paraId="18ACF9A9" w14:textId="3562A8D4" w:rsidR="001D6105" w:rsidRPr="001F5176" w:rsidRDefault="00264242" w:rsidP="005A0EA1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10741906"/>
      <w:r w:rsidRPr="001F5176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1D6105" w:rsidRPr="001F5176">
        <w:rPr>
          <w:rFonts w:ascii="Times New Roman" w:hAnsi="Times New Roman" w:cs="Times New Roman"/>
          <w:b/>
          <w:bCs/>
          <w:color w:val="auto"/>
          <w:sz w:val="24"/>
          <w:szCs w:val="24"/>
        </w:rPr>
        <w:t>. ПОРЯДОК ПОДАННЯ ТА РОЗГЛЯДУ КОНКУРСНИХ ПРОПОЗИЦІЙ</w:t>
      </w:r>
      <w:bookmarkEnd w:id="3"/>
    </w:p>
    <w:p w14:paraId="4500FB40" w14:textId="27BD6880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4.1. </w:t>
      </w:r>
      <w:r w:rsidR="00A70267" w:rsidRPr="001F5176">
        <w:rPr>
          <w:rFonts w:ascii="Times New Roman" w:hAnsi="Times New Roman" w:cs="Times New Roman"/>
          <w:sz w:val="24"/>
          <w:szCs w:val="24"/>
        </w:rPr>
        <w:t xml:space="preserve">Відповідальний </w:t>
      </w:r>
      <w:r w:rsidR="00364D5D" w:rsidRPr="001F5176">
        <w:rPr>
          <w:rFonts w:ascii="Times New Roman" w:hAnsi="Times New Roman" w:cs="Times New Roman"/>
          <w:sz w:val="24"/>
          <w:szCs w:val="24"/>
        </w:rPr>
        <w:t>за проведення конкурсу</w:t>
      </w:r>
      <w:r w:rsidR="00A70267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 відповідно до положень чинного законодавства забезпечує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та проводить прозорий конкурс з відбору суб’єкту аудиторської діяльності та надає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обґрунтовані рекомендації за його результатами.</w:t>
      </w:r>
    </w:p>
    <w:p w14:paraId="71177AC9" w14:textId="64592D41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4.2. Оголошення про проведення конкурсу розміщується на власному сайті</w:t>
      </w:r>
      <w:r w:rsidR="00364D5D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Товариства за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адресою</w:t>
      </w:r>
      <w:r w:rsidR="00364D5D" w:rsidRPr="001F5176">
        <w:rPr>
          <w:rFonts w:ascii="Times New Roman" w:hAnsi="Times New Roman" w:cs="Times New Roman"/>
          <w:sz w:val="24"/>
          <w:szCs w:val="24"/>
        </w:rPr>
        <w:t>: https://blago.ua</w:t>
      </w:r>
    </w:p>
    <w:p w14:paraId="38D278A8" w14:textId="52A279C8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4.3. У конкурсі можуть брати участь суб’єкти аудиторської діяльності, які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відповідають вимогам, встановленим законодавством України до суб’єктів аудиторської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діяльності та критеріям відбору суб’єктів аудиторської діяльності для надання послуг з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обов’язкового аудиту фінансової звітності Товариства, зазначені в Розділі </w:t>
      </w:r>
      <w:r w:rsidR="00264242" w:rsidRPr="001F5176">
        <w:rPr>
          <w:rFonts w:ascii="Times New Roman" w:hAnsi="Times New Roman" w:cs="Times New Roman"/>
          <w:sz w:val="24"/>
          <w:szCs w:val="24"/>
        </w:rPr>
        <w:t>3</w:t>
      </w:r>
      <w:r w:rsidRPr="001F5176">
        <w:rPr>
          <w:rFonts w:ascii="Times New Roman" w:hAnsi="Times New Roman" w:cs="Times New Roman"/>
          <w:sz w:val="24"/>
          <w:szCs w:val="24"/>
        </w:rPr>
        <w:t xml:space="preserve"> цього Порядку.</w:t>
      </w:r>
    </w:p>
    <w:p w14:paraId="589D2174" w14:textId="3D98709F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4.4. Суб’єктам аудиторської діяльності, які виявили бажання брати участь у конкурсі,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безкоштовно надається документація, яка розкриває інформацію про діяльність Товариства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та містить завдання з обов’язкового аудиту фінансової звітності.</w:t>
      </w:r>
    </w:p>
    <w:p w14:paraId="24F6AF01" w14:textId="46D971A0" w:rsidR="001D6105" w:rsidRPr="001F5176" w:rsidRDefault="001D6105" w:rsidP="009941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4.5. Конкурсні пропозиції подаються в строк, що зазначений в </w:t>
      </w:r>
      <w:r w:rsidR="0099414F" w:rsidRPr="001F5176">
        <w:rPr>
          <w:rFonts w:ascii="Times New Roman" w:hAnsi="Times New Roman" w:cs="Times New Roman"/>
          <w:sz w:val="24"/>
          <w:szCs w:val="24"/>
        </w:rPr>
        <w:t>Оголошенні щодо умов та порядку проведення конкурсу із відбору суб’єктів аудиторської діяльності для надання послуг з обов’язкового аудиту фінансової звітності</w:t>
      </w:r>
      <w:r w:rsidRPr="001F5176">
        <w:rPr>
          <w:rFonts w:ascii="Times New Roman" w:hAnsi="Times New Roman" w:cs="Times New Roman"/>
          <w:sz w:val="24"/>
          <w:szCs w:val="24"/>
        </w:rPr>
        <w:t>.</w:t>
      </w:r>
    </w:p>
    <w:p w14:paraId="1148B3BB" w14:textId="05BF2001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4.6. Конкурсні пропозиції, отримані </w:t>
      </w:r>
      <w:r w:rsidR="0099414F" w:rsidRPr="001F5176">
        <w:rPr>
          <w:rFonts w:ascii="Times New Roman" w:hAnsi="Times New Roman" w:cs="Times New Roman"/>
          <w:sz w:val="24"/>
          <w:szCs w:val="24"/>
        </w:rPr>
        <w:t>Товариством</w:t>
      </w:r>
      <w:r w:rsidRPr="001F5176">
        <w:rPr>
          <w:rFonts w:ascii="Times New Roman" w:hAnsi="Times New Roman" w:cs="Times New Roman"/>
          <w:sz w:val="24"/>
          <w:szCs w:val="24"/>
        </w:rPr>
        <w:t xml:space="preserve"> після закінчення строку їх подання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не розглядаються.</w:t>
      </w:r>
    </w:p>
    <w:p w14:paraId="51FD9245" w14:textId="04401E96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4.7. Учасник має право вн</w:t>
      </w:r>
      <w:r w:rsidR="0099414F" w:rsidRPr="001F5176">
        <w:rPr>
          <w:rFonts w:ascii="Times New Roman" w:hAnsi="Times New Roman" w:cs="Times New Roman"/>
          <w:sz w:val="24"/>
          <w:szCs w:val="24"/>
        </w:rPr>
        <w:t>осити</w:t>
      </w:r>
      <w:r w:rsidRPr="001F5176">
        <w:rPr>
          <w:rFonts w:ascii="Times New Roman" w:hAnsi="Times New Roman" w:cs="Times New Roman"/>
          <w:sz w:val="24"/>
          <w:szCs w:val="24"/>
        </w:rPr>
        <w:t xml:space="preserve"> зміни або відкликати свою конкурсну пропозицію до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закінчення строку її подання.</w:t>
      </w:r>
    </w:p>
    <w:p w14:paraId="1F01E5D0" w14:textId="2E6BACB9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4.8. Кожен учасник має право подати тільки одну конкурсну пропозицію, яка не може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бути змінена після закінчення строку подання конкурсних пропозицій.</w:t>
      </w:r>
    </w:p>
    <w:p w14:paraId="33A60FFF" w14:textId="6A7D2698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4.9. Розгляд та перевірка конкурсних пропозицій учасників здійснюється </w:t>
      </w:r>
      <w:r w:rsidR="00264242" w:rsidRPr="001F5176">
        <w:rPr>
          <w:rFonts w:ascii="Times New Roman" w:hAnsi="Times New Roman" w:cs="Times New Roman"/>
          <w:sz w:val="24"/>
          <w:szCs w:val="24"/>
        </w:rPr>
        <w:t>відповідальними особами підприємства.</w:t>
      </w:r>
    </w:p>
    <w:p w14:paraId="02CBE426" w14:textId="02C01F99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lastRenderedPageBreak/>
        <w:t xml:space="preserve">4.10. За результатом розгляду та перевірки пропозицій </w:t>
      </w:r>
      <w:r w:rsidR="0099414F" w:rsidRPr="001F5176">
        <w:rPr>
          <w:rFonts w:ascii="Times New Roman" w:hAnsi="Times New Roman" w:cs="Times New Roman"/>
          <w:sz w:val="24"/>
          <w:szCs w:val="24"/>
        </w:rPr>
        <w:t>в</w:t>
      </w:r>
      <w:r w:rsidR="00A70267" w:rsidRPr="001F5176">
        <w:rPr>
          <w:rFonts w:ascii="Times New Roman" w:hAnsi="Times New Roman" w:cs="Times New Roman"/>
          <w:sz w:val="24"/>
          <w:szCs w:val="24"/>
        </w:rPr>
        <w:t xml:space="preserve">ідповідальний </w:t>
      </w:r>
      <w:r w:rsidR="0099414F" w:rsidRPr="001F5176">
        <w:rPr>
          <w:rFonts w:ascii="Times New Roman" w:hAnsi="Times New Roman" w:cs="Times New Roman"/>
          <w:sz w:val="24"/>
          <w:szCs w:val="24"/>
        </w:rPr>
        <w:t>за проведення конкурсу</w:t>
      </w:r>
      <w:r w:rsidR="00A70267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приймає</w:t>
      </w:r>
      <w:r w:rsidR="00A70267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рішення про допуск учасників, пропозиції яких відповідають встановленим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вимогам, до участі у конкурсі, або про відхилення таких пропозицій.</w:t>
      </w:r>
    </w:p>
    <w:p w14:paraId="60F4B120" w14:textId="01458029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4.11. </w:t>
      </w:r>
      <w:r w:rsidR="0099414F" w:rsidRPr="001F5176">
        <w:rPr>
          <w:rFonts w:ascii="Times New Roman" w:hAnsi="Times New Roman" w:cs="Times New Roman"/>
          <w:sz w:val="24"/>
          <w:szCs w:val="24"/>
        </w:rPr>
        <w:t>Відповідальний за проведення конкурсу</w:t>
      </w:r>
      <w:r w:rsidRPr="001F5176">
        <w:rPr>
          <w:rFonts w:ascii="Times New Roman" w:hAnsi="Times New Roman" w:cs="Times New Roman"/>
          <w:sz w:val="24"/>
          <w:szCs w:val="24"/>
        </w:rPr>
        <w:t>, оцінює конкурсні пропозиції, подані суб’єктами</w:t>
      </w:r>
      <w:r w:rsidR="001D2F23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аудиторської діяльності, за встановленими критеріями відбору та складає звіт про висновки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процедури відбору. 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Відповідальний за проведення конкурсу </w:t>
      </w:r>
      <w:r w:rsidRPr="001F5176">
        <w:rPr>
          <w:rFonts w:ascii="Times New Roman" w:hAnsi="Times New Roman" w:cs="Times New Roman"/>
          <w:sz w:val="24"/>
          <w:szCs w:val="24"/>
        </w:rPr>
        <w:t>бере до уваги результати контролю якості послуг,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що надаються суб’єктами аудиторської діяльності, які беруть участь у конкурсі.</w:t>
      </w:r>
    </w:p>
    <w:p w14:paraId="24F4B1AD" w14:textId="3D7A3A98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4.12. За результатами конкурсу 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відповідальний за проведення конкурсу </w:t>
      </w:r>
      <w:r w:rsidRPr="001F5176">
        <w:rPr>
          <w:rFonts w:ascii="Times New Roman" w:hAnsi="Times New Roman" w:cs="Times New Roman"/>
          <w:sz w:val="24"/>
          <w:szCs w:val="24"/>
        </w:rPr>
        <w:t>надає обґрунтовані рекомендації</w:t>
      </w:r>
      <w:r w:rsidR="001D2F23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щодо призначення суб’єкта (суб’єктів) аудиторської діяльності для надання послуг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обов’язкового аудиту фінансової звітності, які мають включати щонайменше 2 пропозиції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щодо відбору суб’єктів аудиторської діяльності для проведення обов’язкового аудиту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фінансової звітності.</w:t>
      </w:r>
    </w:p>
    <w:p w14:paraId="6B7BF13E" w14:textId="1A53B72D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4.13. Загальні збори учасників Товариства розглядають обґрунтовані рекомендації,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надані </w:t>
      </w:r>
      <w:r w:rsidR="0099414F" w:rsidRPr="001F5176">
        <w:rPr>
          <w:rFonts w:ascii="Times New Roman" w:hAnsi="Times New Roman" w:cs="Times New Roman"/>
          <w:sz w:val="24"/>
          <w:szCs w:val="24"/>
        </w:rPr>
        <w:t xml:space="preserve">відповідальним за проведення конкурсу </w:t>
      </w:r>
      <w:r w:rsidRPr="001F5176">
        <w:rPr>
          <w:rFonts w:ascii="Times New Roman" w:hAnsi="Times New Roman" w:cs="Times New Roman"/>
          <w:sz w:val="24"/>
          <w:szCs w:val="24"/>
        </w:rPr>
        <w:t>щодо призначення суб’єкта (суб’єктів) аудиторської</w:t>
      </w:r>
      <w:r w:rsidR="001D2F23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діяльності для надання послуг з обов’язкового аудиту фінансової звітності, які мають</w:t>
      </w:r>
      <w:r w:rsidR="001D2F23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включати щонайменше 2 пропозиції щодо відбору суб’єктів аудиторської діяльності для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проведення обов’язкового аудиту фінансової звітності та визначають суб’єкта (суб’єктів)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аудиторської діяльності для надання послуг з обов’язкового аудиту фінансової звітності.</w:t>
      </w:r>
    </w:p>
    <w:p w14:paraId="2D1DE10D" w14:textId="275AA2BD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 xml:space="preserve">Якщо Загальні збори учасників не враховують рекомендацій </w:t>
      </w:r>
      <w:r w:rsidR="00B56559" w:rsidRPr="001F5176">
        <w:rPr>
          <w:rFonts w:ascii="Times New Roman" w:hAnsi="Times New Roman" w:cs="Times New Roman"/>
          <w:sz w:val="24"/>
          <w:szCs w:val="24"/>
        </w:rPr>
        <w:t>відповідального за проведення конкурсу</w:t>
      </w:r>
      <w:r w:rsidRPr="001F5176">
        <w:rPr>
          <w:rFonts w:ascii="Times New Roman" w:hAnsi="Times New Roman" w:cs="Times New Roman"/>
          <w:sz w:val="24"/>
          <w:szCs w:val="24"/>
        </w:rPr>
        <w:t>,</w:t>
      </w:r>
      <w:r w:rsidR="001D2F23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то вони мають право з числа суб’єктів аудиторської діяльності, які брали участь у конкурсі</w:t>
      </w:r>
      <w:r w:rsidR="001D2F23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 xml:space="preserve">та відповідають вимогам, зазначеним у Розділі </w:t>
      </w:r>
      <w:r w:rsidR="00264242" w:rsidRPr="001F5176">
        <w:rPr>
          <w:rFonts w:ascii="Times New Roman" w:hAnsi="Times New Roman" w:cs="Times New Roman"/>
          <w:sz w:val="24"/>
          <w:szCs w:val="24"/>
        </w:rPr>
        <w:t>3</w:t>
      </w:r>
      <w:r w:rsidRPr="001F5176">
        <w:rPr>
          <w:rFonts w:ascii="Times New Roman" w:hAnsi="Times New Roman" w:cs="Times New Roman"/>
          <w:sz w:val="24"/>
          <w:szCs w:val="24"/>
        </w:rPr>
        <w:t xml:space="preserve"> цього Порядку обрати іншого суб’єкта</w:t>
      </w:r>
    </w:p>
    <w:p w14:paraId="6E4F782D" w14:textId="77777777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аудиторської діяльності.</w:t>
      </w:r>
    </w:p>
    <w:p w14:paraId="45C07C30" w14:textId="2B04F6C6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4.14. Рішення про призначення суб’єкта (суб’єктів) аудиторської діяльності для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надання послуг з обов’язкового аудиту фінансової звітності Товариства приймається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Загальними зборами учасників Товариства.</w:t>
      </w:r>
    </w:p>
    <w:p w14:paraId="1635DD49" w14:textId="148A842D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4.15. Товариство до підписання договору щодо аудиту фінансової звітності інформує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про суб’єкта аудиторської діяльності, який надаватиме ці послуги, відповідний орган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державної влади, до якого відповідно до законодавства подається фінансова звітність разом з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аудиторським висновком</w:t>
      </w:r>
      <w:r w:rsidR="00A16245" w:rsidRPr="001F5176">
        <w:rPr>
          <w:rFonts w:ascii="Times New Roman" w:hAnsi="Times New Roman" w:cs="Times New Roman"/>
          <w:sz w:val="24"/>
          <w:szCs w:val="24"/>
        </w:rPr>
        <w:t>.</w:t>
      </w:r>
    </w:p>
    <w:p w14:paraId="59FC2837" w14:textId="490302D4" w:rsidR="001D6105" w:rsidRPr="001F5176" w:rsidRDefault="00D40CEB" w:rsidP="005A0EA1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10741907"/>
      <w:r w:rsidRPr="001F5176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1D6105" w:rsidRPr="001F5176">
        <w:rPr>
          <w:rFonts w:ascii="Times New Roman" w:hAnsi="Times New Roman" w:cs="Times New Roman"/>
          <w:b/>
          <w:bCs/>
          <w:color w:val="auto"/>
          <w:sz w:val="24"/>
          <w:szCs w:val="24"/>
        </w:rPr>
        <w:t>. ПРИПИНЕННЯ СПІВПРАЦІ</w:t>
      </w:r>
      <w:bookmarkEnd w:id="4"/>
    </w:p>
    <w:p w14:paraId="5A512210" w14:textId="217052F8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5.1. Суб’єкт аудиторської діяльності може бути відсторонений від виконання завдання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 обов’язкового аудиту фінансової звітності до завершення строку, визначеного договором з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Товариством.</w:t>
      </w:r>
    </w:p>
    <w:p w14:paraId="224902B9" w14:textId="72FD15C6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lastRenderedPageBreak/>
        <w:t>5.2. Відсторонення суб’єкта аудиторської діяльності від виконання завдання з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обов’язкового аудиту може бути здійснено на підставі достатніх обґрунтованих доказів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порушення суб’єктом аудиторської діяльності вимог Закону України «Про аудит фінансової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звітності та аудиторську діяльність».</w:t>
      </w:r>
    </w:p>
    <w:p w14:paraId="42DA4C69" w14:textId="4BB22D0A" w:rsidR="00B56559" w:rsidRPr="001F5176" w:rsidRDefault="001D6105" w:rsidP="00B5655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5.3. Товариство та суб’єкт аудиторської діяльності, який виконував завдання з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обов’язкового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аудиту, інформують Інспекцію із забезпечення якості що входить до складу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Органу суспільного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нагляду за аудиторською діяльністю про відсторонення суб’єкта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аудиторської діяльності від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виконання завдання з обов’язкового аудиту фінансової звітності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до завершення строку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виконання завдання, визначеного договором, і зазначають причини та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необхідні пояснення.</w:t>
      </w:r>
      <w:bookmarkStart w:id="5" w:name="_Toc210741908"/>
    </w:p>
    <w:p w14:paraId="0C7E6DB6" w14:textId="63E427DE" w:rsidR="001D6105" w:rsidRPr="001F5176" w:rsidRDefault="00D40CEB" w:rsidP="00B5655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D6105" w:rsidRPr="001F5176">
        <w:rPr>
          <w:rFonts w:ascii="Times New Roman" w:hAnsi="Times New Roman" w:cs="Times New Roman"/>
          <w:b/>
          <w:bCs/>
          <w:sz w:val="24"/>
          <w:szCs w:val="24"/>
        </w:rPr>
        <w:t>. ПРИКІНЦЕВІ ПОЛОЖЕННЯ</w:t>
      </w:r>
      <w:bookmarkEnd w:id="5"/>
    </w:p>
    <w:p w14:paraId="71472FA1" w14:textId="5FC6F978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6.1. Цей Порядок набирає чинності з моменту його затвердження Загальними зборами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учасників Товариства та діє до його скасування або прийняття нового нормативного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документу, яке регулює аналогічні питання.</w:t>
      </w:r>
    </w:p>
    <w:p w14:paraId="064929AD" w14:textId="2231B185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6.2. Зміни та доповнення до цього Порядку вносяться за умови їх затвердження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відповідним рішенням Загальних зборів учасників Товариства.</w:t>
      </w:r>
    </w:p>
    <w:p w14:paraId="59B99135" w14:textId="1CE7E685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6.3. Зміни та доповнення до цього Порядку затверджуються відповідним рішенням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Загальних зборів учасників Товариства, шляхом введення в дію нової редакції Порядку.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Прийняття нової редакції Порядку автоматично призводить до припинення дії попереднього.</w:t>
      </w:r>
    </w:p>
    <w:p w14:paraId="3FE8A51A" w14:textId="5D5B870C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6.4. В процесі удосконалення законодавчих та нормативних актів, а також змін у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процесах Товариства – до цього Порядку можуть бути внесені відповідні зміни та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доповнення. Такі зміни та доповнення набирають чинності з моменту їх затвердження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рішенням Загальних зборів учасників Товариства.</w:t>
      </w:r>
    </w:p>
    <w:p w14:paraId="6B822CFD" w14:textId="2EB017E2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176">
        <w:rPr>
          <w:rFonts w:ascii="Times New Roman" w:hAnsi="Times New Roman" w:cs="Times New Roman"/>
          <w:sz w:val="24"/>
          <w:szCs w:val="24"/>
        </w:rPr>
        <w:t>6.5. У</w:t>
      </w:r>
      <w:r w:rsidR="00D40CEB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разі невідповідності будь-якої частини цього Порядку законодавству України,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нормативно-правовим актам Національного банку України, у тому числі в разі прийняття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нових нормативно-правових актів або удосконалення існуючих, цей Порядок буде діяти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лише в тій частині, що не суперечитиме законодавству України.</w:t>
      </w:r>
    </w:p>
    <w:p w14:paraId="1CFF324F" w14:textId="0D76AAC2" w:rsidR="001D6105" w:rsidRPr="001F5176" w:rsidRDefault="001D6105" w:rsidP="005A0EA1">
      <w:pPr>
        <w:spacing w:line="360" w:lineRule="auto"/>
        <w:jc w:val="both"/>
        <w:rPr>
          <w:rFonts w:ascii="Times New Roman" w:hAnsi="Times New Roman" w:cs="Times New Roman"/>
        </w:rPr>
      </w:pPr>
      <w:r w:rsidRPr="001F5176">
        <w:rPr>
          <w:rFonts w:ascii="Times New Roman" w:hAnsi="Times New Roman" w:cs="Times New Roman"/>
          <w:sz w:val="24"/>
          <w:szCs w:val="24"/>
        </w:rPr>
        <w:t>6.6. Всі питання, не врегульовані цим Порядком, вирішуються в порядку,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передбаченому іншими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внутрішніми нормативними документами Товариства та на підставі</w:t>
      </w:r>
      <w:r w:rsidR="00B56559" w:rsidRPr="001F5176">
        <w:rPr>
          <w:rFonts w:ascii="Times New Roman" w:hAnsi="Times New Roman" w:cs="Times New Roman"/>
          <w:sz w:val="24"/>
          <w:szCs w:val="24"/>
        </w:rPr>
        <w:t xml:space="preserve"> </w:t>
      </w:r>
      <w:r w:rsidRPr="001F5176">
        <w:rPr>
          <w:rFonts w:ascii="Times New Roman" w:hAnsi="Times New Roman" w:cs="Times New Roman"/>
          <w:sz w:val="24"/>
          <w:szCs w:val="24"/>
        </w:rPr>
        <w:t>законодавства України.</w:t>
      </w:r>
    </w:p>
    <w:sectPr w:rsidR="001D6105" w:rsidRPr="001F5176" w:rsidSect="0068478F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565F" w14:textId="77777777" w:rsidR="00643F16" w:rsidRDefault="00643F16" w:rsidP="00864A98">
      <w:pPr>
        <w:spacing w:after="0" w:line="240" w:lineRule="auto"/>
      </w:pPr>
      <w:r>
        <w:separator/>
      </w:r>
    </w:p>
  </w:endnote>
  <w:endnote w:type="continuationSeparator" w:id="0">
    <w:p w14:paraId="59D14289" w14:textId="77777777" w:rsidR="00643F16" w:rsidRDefault="00643F16" w:rsidP="0086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23A6" w14:textId="77777777" w:rsidR="00643F16" w:rsidRDefault="00643F16" w:rsidP="00864A98">
      <w:pPr>
        <w:spacing w:after="0" w:line="240" w:lineRule="auto"/>
      </w:pPr>
      <w:r>
        <w:separator/>
      </w:r>
    </w:p>
  </w:footnote>
  <w:footnote w:type="continuationSeparator" w:id="0">
    <w:p w14:paraId="76421818" w14:textId="77777777" w:rsidR="00643F16" w:rsidRDefault="00643F16" w:rsidP="00864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96E"/>
    <w:multiLevelType w:val="hybridMultilevel"/>
    <w:tmpl w:val="84BA45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068CD74">
      <w:start w:val="6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7308"/>
    <w:multiLevelType w:val="hybridMultilevel"/>
    <w:tmpl w:val="ABE4D3B8"/>
    <w:lvl w:ilvl="0" w:tplc="6068CD74">
      <w:start w:val="6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068CD74">
      <w:start w:val="6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0A28"/>
    <w:multiLevelType w:val="hybridMultilevel"/>
    <w:tmpl w:val="AA8C47DE"/>
    <w:lvl w:ilvl="0" w:tplc="6068CD74">
      <w:start w:val="6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B0945"/>
    <w:multiLevelType w:val="hybridMultilevel"/>
    <w:tmpl w:val="8C3E890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713C"/>
    <w:multiLevelType w:val="hybridMultilevel"/>
    <w:tmpl w:val="9424C2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B7C88"/>
    <w:multiLevelType w:val="hybridMultilevel"/>
    <w:tmpl w:val="779E600E"/>
    <w:lvl w:ilvl="0" w:tplc="6068CD74">
      <w:start w:val="6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809FE"/>
    <w:multiLevelType w:val="hybridMultilevel"/>
    <w:tmpl w:val="1898D5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42E45"/>
    <w:multiLevelType w:val="hybridMultilevel"/>
    <w:tmpl w:val="B7642B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32B13"/>
    <w:multiLevelType w:val="hybridMultilevel"/>
    <w:tmpl w:val="801E5D8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A02BC"/>
    <w:multiLevelType w:val="hybridMultilevel"/>
    <w:tmpl w:val="21DC5F5A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068CD74">
      <w:start w:val="6"/>
      <w:numFmt w:val="bullet"/>
      <w:lvlText w:val="−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6806EAB"/>
    <w:multiLevelType w:val="hybridMultilevel"/>
    <w:tmpl w:val="AF4A3916"/>
    <w:lvl w:ilvl="0" w:tplc="6068CD74">
      <w:start w:val="6"/>
      <w:numFmt w:val="bullet"/>
      <w:lvlText w:val="−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8254FC"/>
    <w:multiLevelType w:val="hybridMultilevel"/>
    <w:tmpl w:val="990E2F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D6"/>
    <w:rsid w:val="00037BD1"/>
    <w:rsid w:val="00080B19"/>
    <w:rsid w:val="0018143F"/>
    <w:rsid w:val="001D2F23"/>
    <w:rsid w:val="001D6105"/>
    <w:rsid w:val="001F5176"/>
    <w:rsid w:val="002630B8"/>
    <w:rsid w:val="00264242"/>
    <w:rsid w:val="002C26A7"/>
    <w:rsid w:val="002D6B6A"/>
    <w:rsid w:val="00303AD1"/>
    <w:rsid w:val="003239D0"/>
    <w:rsid w:val="00364D5D"/>
    <w:rsid w:val="003B41EE"/>
    <w:rsid w:val="004779FE"/>
    <w:rsid w:val="00534989"/>
    <w:rsid w:val="005A0EA1"/>
    <w:rsid w:val="005D66AA"/>
    <w:rsid w:val="00643F16"/>
    <w:rsid w:val="0068478F"/>
    <w:rsid w:val="006E6AE4"/>
    <w:rsid w:val="00740BE4"/>
    <w:rsid w:val="00864A98"/>
    <w:rsid w:val="008A47FC"/>
    <w:rsid w:val="0099414F"/>
    <w:rsid w:val="009C1871"/>
    <w:rsid w:val="00A16245"/>
    <w:rsid w:val="00A70267"/>
    <w:rsid w:val="00A82D60"/>
    <w:rsid w:val="00B56559"/>
    <w:rsid w:val="00B76062"/>
    <w:rsid w:val="00C44DE7"/>
    <w:rsid w:val="00CB0B17"/>
    <w:rsid w:val="00CB623E"/>
    <w:rsid w:val="00D37C08"/>
    <w:rsid w:val="00D40623"/>
    <w:rsid w:val="00D40CEB"/>
    <w:rsid w:val="00E64ED6"/>
    <w:rsid w:val="00E95789"/>
    <w:rsid w:val="00EA24DC"/>
    <w:rsid w:val="00F26496"/>
    <w:rsid w:val="00F362F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F97C"/>
  <w15:chartTrackingRefBased/>
  <w15:docId w15:val="{5C89DEC7-CEA8-4112-BE85-2147B036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E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E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E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64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4E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4ED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4ED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4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4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4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4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4E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4E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4ED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4E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4ED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64ED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4A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4A98"/>
  </w:style>
  <w:style w:type="paragraph" w:styleId="ae">
    <w:name w:val="footer"/>
    <w:basedOn w:val="a"/>
    <w:link w:val="af"/>
    <w:uiPriority w:val="99"/>
    <w:unhideWhenUsed/>
    <w:rsid w:val="00864A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4A98"/>
  </w:style>
  <w:style w:type="paragraph" w:styleId="af0">
    <w:name w:val="TOC Heading"/>
    <w:basedOn w:val="1"/>
    <w:next w:val="a"/>
    <w:uiPriority w:val="39"/>
    <w:unhideWhenUsed/>
    <w:qFormat/>
    <w:rsid w:val="00864A98"/>
    <w:pPr>
      <w:spacing w:before="240" w:after="0"/>
      <w:outlineLvl w:val="9"/>
    </w:pPr>
    <w:rPr>
      <w:kern w:val="0"/>
      <w:sz w:val="32"/>
      <w:szCs w:val="32"/>
      <w:lang w:eastAsia="uk-UA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864A98"/>
    <w:pPr>
      <w:spacing w:after="100"/>
    </w:pPr>
  </w:style>
  <w:style w:type="character" w:styleId="af1">
    <w:name w:val="Hyperlink"/>
    <w:basedOn w:val="a0"/>
    <w:uiPriority w:val="99"/>
    <w:unhideWhenUsed/>
    <w:rsid w:val="00864A98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9C187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187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C187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187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C1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F172-B7B1-4EE5-AA57-F8A31B54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11452</Words>
  <Characters>6529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Feniushyna</dc:creator>
  <cp:keywords/>
  <dc:description/>
  <cp:lastModifiedBy>Шаліна Олександра</cp:lastModifiedBy>
  <cp:revision>4</cp:revision>
  <dcterms:created xsi:type="dcterms:W3CDTF">2025-10-13T15:03:00Z</dcterms:created>
  <dcterms:modified xsi:type="dcterms:W3CDTF">2025-10-16T08:40:00Z</dcterms:modified>
</cp:coreProperties>
</file>